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160"/>
      </w:pPr>
      <w:r>
        <w:t xml:space="preserve">Technology Should Not Be Viewed as a Cost Center</w:t>
      </w:r>
    </w:p>
    <w:p>
      <w:pPr>
        <w:spacing w:after="80"/>
      </w:pPr>
      <w:r>
        <w:rPr>
          <w:color w:val="777777"/>
          <w:sz w:val="20"/>
          <w:szCs w:val="20"/>
        </w:rPr>
        <w:t xml:space="preserve">By </w:t>
      </w:r>
      <w:r>
        <w:rPr>
          <w:b/>
          <w:bCs/>
          <w:color w:val="15445D"/>
          <w:sz w:val="20"/>
          <w:szCs w:val="20"/>
        </w:rPr>
        <w:t xml:space="preserve">Andrea Marini</w:t>
      </w:r>
    </w:p>
    <w:p>
      <w:pPr>
        <w:pBdr>
          <w:bottom w:val="single" w:color="72A4D8" w:sz="6" w:space="8"/>
        </w:pBdr>
        <w:spacing w:after="120"/>
      </w:pPr>
      <w:r>
        <w:rPr>
          <w:i/>
          <w:iCs/>
          <w:color w:val="555555"/>
          <w:sz w:val="24"/>
          <w:szCs w:val="24"/>
        </w:rPr>
        <w:t xml:space="preserve">The foundational TeamShield philosophy.</w:t>
      </w:r>
    </w:p>
    <w:p>
      <w:pPr>
        <w:spacing w:after="120" w:before="120" w:line="300"/>
      </w:pPr>
      <w:r>
        <w:t xml:space="preserve">Most organizations file technology under the same mental category as rent, utilities, and insurance: a necessary expense to be managed downward. It shows up on the income statement as a cost, so leadership treats it like one. The annual question becomes “How do we spend less on IT?” rather than “What should IT make possible?”</w:t>
      </w:r>
    </w:p>
    <w:p>
      <w:pPr>
        <w:spacing w:after="120" w:before="120" w:line="300"/>
      </w:pPr>
      <w:r>
        <w:t xml:space="preserve">That single framing decision quietly shapes years of outcomes, and almost always the wrong ones.</w:t>
      </w:r>
    </w:p>
    <w:p>
      <w:pPr>
        <w:spacing w:after="120" w:before="120" w:line="300"/>
      </w:pPr>
      <w:r>
        <w:t xml:space="preserve">When technology is treated as a cost center, every decision optimizes for the lowest invoice. Hardware is replaced only after it fails, which tends to be the least convenient moment physics allows, usually mid-payroll. Security is funded only after an incident. Talent is the cheapest available rather than the most capable. The result is a function that is perpetually behind, perpetually reactive, and perpetually fragile. Ironically, the pursuit of “cheaper IT” produces more expensive IT, because the real costs (downtime, breaches, lost productivity, missed opportunity) simply move off the budget line and onto the business.</w:t>
      </w:r>
    </w:p>
    <w:p>
      <w:pPr>
        <w:spacing w:after="120" w:before="120" w:line="300"/>
      </w:pPr>
      <w:r>
        <w:t xml:space="preserve">The deeper problem is what cost-center thinking measures. It measures spend, not outcomes. But technology’s value was never in the spend; it’s in what the spend enables. The right CRM doesn’t cost money, it shortens sales cycles. The right automation doesn’t cost money, it frees your best people from work that shouldn’t require people. The right security posture doesn’t cost money, it protects the revenue, reputation, and customer trust the entire enterprise depends on.</w:t>
      </w:r>
    </w:p>
    <w:p>
      <w:pPr>
        <w:spacing w:after="120" w:before="120" w:line="300"/>
      </w:pPr>
      <w:r>
        <w:t xml:space="preserve">This is the foundational TeamShield philosophy: technology is a lever, not a line item. Every dollar invested in it should connect to a business outcome: revenue, speed, resilience, experience, or risk reduction. When you can draw that line clearly, the conversation changes. You stop asking “How cheap can this be?” and start asking “What is this worth?”</w:t>
      </w:r>
    </w:p>
    <w:p>
      <w:pPr>
        <w:spacing w:after="120" w:before="120" w:line="300"/>
      </w:pPr>
      <w:r>
        <w:t xml:space="preserve">The companies that pull ahead in their markets aren’t the ones who spent the least on technology. They’re the ones who stopped treating it as overhead and started treating it as infrastructure for growth. The cost-center mindset isn’t just outdated, it’s a competitive disadvantage. The first step toward fixing your technology is changing what you believe it’s for.</w:t>
      </w:r>
    </w:p>
    <w:p>
      <w:pPr>
        <w:pBdr>
          <w:top w:val="single" w:color="CCCCCC" w:sz="4" w:space="10"/>
        </w:pBdr>
        <w:spacing w:before="280"/>
      </w:pPr>
      <w:r>
        <w:rPr>
          <w:i/>
          <w:iCs/>
          <w:color w:val="15445D"/>
          <w:sz w:val="18"/>
          <w:szCs w:val="18"/>
        </w:rPr>
        <w:t xml:space="preserve">From the TeamShield Perspective.</w:t>
      </w:r>
    </w:p>
    <w:sectPr>
      <w:headerReference w:type="default" r:id="rId7"/>
      <w:footerReference w:type="default" r:id="rId8"/>
      <w:pgSz w:w="12240" w:h="15840" w:orient="portrait"/>
      <w:pgMar w:top="2200" w:right="1440" w:bottom="1440" w:left="1440" w:header="720"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40"/>
      <w:jc w:val="center"/>
    </w:pPr>
    <w:r>
      <w:drawing>
        <wp:inline distT="0" distB="0" distL="0" distR="0">
          <wp:extent cx="209550" cy="2095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09550" cy="209550"/>
                  </a:xfrm>
                  <a:prstGeom prst="rect">
                    <a:avLst/>
                  </a:prstGeom>
                </pic:spPr>
              </pic:pic>
            </a:graphicData>
          </a:graphic>
        </wp:inline>
      </w:drawing>
    </w:r>
  </w:p>
  <w:p>
    <w:pPr>
      <w:spacing w:after="20"/>
      <w:jc w:val="center"/>
    </w:pPr>
    <w:r>
      <w:rPr>
        <w:rFonts w:ascii="Arial" w:cs="Arial" w:eastAsia="Arial" w:hAnsi="Arial"/>
        <w:color w:val="15445D"/>
        <w:sz w:val="16"/>
        <w:szCs w:val="16"/>
      </w:rPr>
      <w:t xml:space="preserve">50 Burlington Mall Road, Ste G12 · Burlington, MA 01803-4537</w:t>
    </w:r>
  </w:p>
  <w:p>
    <w:pPr>
      <w:jc w:val="center"/>
    </w:pPr>
    <w:r>
      <w:rPr>
        <w:rFonts w:ascii="Arial" w:cs="Arial" w:eastAsia="Arial" w:hAnsi="Arial"/>
        <w:color w:val="15445D"/>
        <w:sz w:val="16"/>
        <w:szCs w:val="16"/>
      </w:rPr>
      <w:t xml:space="preserve">(617) 798-1766</w:t>
    </w:r>
    <w:r>
      <w:rPr>
        <w:rFonts w:ascii="Arial" w:cs="Arial" w:eastAsia="Arial" w:hAnsi="Arial"/>
        <w:color w:val="AAAAAA"/>
        <w:sz w:val="16"/>
        <w:szCs w:val="16"/>
      </w:rPr>
      <w:t xml:space="preserve">   ·   </w:t>
    </w:r>
    <w:r>
      <w:rPr>
        <w:rFonts w:ascii="Arial" w:cs="Arial" w:eastAsia="Arial" w:hAnsi="Arial"/>
        <w:b/>
        <w:bCs/>
        <w:color w:val="72A4D8"/>
        <w:sz w:val="16"/>
        <w:szCs w:val="16"/>
      </w:rPr>
      <w:t xml:space="preserve">www.teamshieldgroup.com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drawing>
        <wp:inline distT="0" distB="0" distL="0" distR="0">
          <wp:extent cx="2000250" cy="533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000250" cy="533400"/>
                  </a:xfrm>
                  <a:prstGeom prst="rect">
                    <a:avLst/>
                  </a:prstGeom>
                </pic:spPr>
              </pic:pic>
            </a:graphicData>
          </a:graphic>
        </wp:inline>
      </w:drawing>
    </w:r>
  </w:p>
  <w:p>
    <w:pPr>
      <w:spacing w:before="80"/>
      <w:jc w:val="center"/>
    </w:pPr>
    <w:r>
      <w:rPr>
        <w:rFonts w:ascii="Arial" w:cs="Arial" w:eastAsia="Arial" w:hAnsi="Arial"/>
        <w:b/>
        <w:bCs/>
        <w:color w:val="72A4D8"/>
        <w:sz w:val="17"/>
        <w:szCs w:val="17"/>
      </w:rPr>
      <w:t xml:space="preserve">P H I L O S O P H Y</w:t>
    </w:r>
  </w:p>
  <w:p>
    <w:pPr>
      <w:pBdr>
        <w:bottom w:val="single" w:color="15445D" w:sz="18" w:space="1"/>
      </w:pBdr>
      <w:spacing w:before="90"/>
    </w:pPr>
  </w:p>
  <w:p>
    <w:pPr>
      <w:pBdr>
        <w:bottom w:val="single" w:color="72A4D8" w:sz="6" w:space="1"/>
      </w:pBdr>
      <w:spacing w:before="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120"/>
      <w:outlineLvl w:val="0"/>
    </w:pPr>
    <w:rPr>
      <w:rFonts w:ascii="Arial" w:cs="Arial" w:eastAsia="Arial" w:hAnsi="Arial"/>
      <w:b/>
      <w:bCs/>
      <w:color w:val="15445D"/>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0" Type="http://schemas.openxmlformats.org/officeDocument/2006/relationships/image" Target="media/4ec24c9fc86433e70b00cb6b58172905cbc8f29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5709238559d7ad2f29cabc4663f2df82650c1c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2026-06-27T19:41:36.319Z</dcterms:created>
  <dcterms:modified xsi:type="dcterms:W3CDTF">2026-06-27T19:41:36.319Z</dcterms:modified>
</cp:coreProperties>
</file>

<file path=docProps/custom.xml><?xml version="1.0" encoding="utf-8"?>
<Properties xmlns="http://schemas.openxmlformats.org/officeDocument/2006/custom-properties" xmlns:vt="http://schemas.openxmlformats.org/officeDocument/2006/docPropsVTypes"/>
</file>