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The Hidden Cost of DIY IT</w:t>
      </w:r>
    </w:p>
    <w:p>
      <w:pPr>
        <w:spacing w:after="80"/>
      </w:pPr>
      <w:r>
        <w:rPr>
          <w:color w:val="777777"/>
          <w:sz w:val="20"/>
          <w:szCs w:val="20"/>
        </w:rPr>
        <w:t xml:space="preserve">By </w:t>
      </w:r>
      <w:r>
        <w:rPr>
          <w:b/>
          <w:bCs/>
          <w:color w:val="15445D"/>
          <w:sz w:val="20"/>
          <w:szCs w:val="20"/>
        </w:rPr>
        <w:t xml:space="preserve">Andrea Marini</w:t>
      </w:r>
    </w:p>
    <w:p>
      <w:pPr>
        <w:pBdr>
          <w:bottom w:val="single" w:color="72A4D8" w:sz="6" w:space="8"/>
        </w:pBdr>
        <w:spacing w:after="120"/>
      </w:pPr>
      <w:r>
        <w:rPr>
          <w:i/>
          <w:iCs/>
          <w:color w:val="555555"/>
          <w:sz w:val="24"/>
          <w:szCs w:val="24"/>
        </w:rPr>
        <w:t xml:space="preserve">Why internal technology management often costs organizations significantly more than expected.</w:t>
      </w:r>
    </w:p>
    <w:p>
      <w:pPr>
        <w:spacing w:after="120" w:before="120" w:line="300"/>
      </w:pPr>
      <w:r>
        <w:t xml:space="preserve">On paper, managing IT internally looks like the responsible, cost-conscious choice. You hire a person or a small team, buy the tools, and keep everything under your own roof. The budget is clean and predictable. The trouble is that the budget only captures the costs you can see, and in IT, the visible costs are rarely the expensive ones.</w:t>
      </w:r>
    </w:p>
    <w:p>
      <w:pPr>
        <w:spacing w:after="120" w:before="120" w:line="300"/>
      </w:pPr>
      <w:r>
        <w:t xml:space="preserve">Start with the most overlooked cost of all: opportunity. When a growing company hands IT to “whoever’s good with computers” (a job description that has quietly derailed more than one promising career), that person is usually good at something else the business actually needs them for. Now your operations lead is resetting passwords, or your most capable engineer is troubleshooting the VPN instead of building product. The salary line says one thing; the real cost is the high-value work that isn’t getting done.</w:t>
      </w:r>
    </w:p>
    <w:p>
      <w:pPr>
        <w:spacing w:after="120" w:before="120" w:line="300"/>
      </w:pPr>
      <w:r>
        <w:t xml:space="preserve">Then there’s depth. Modern IT isn’t one discipline, it’s a dozen. Cloud architecture, network engineering, cybersecurity, compliance, backup and recovery, identity management, vendor relationships. No single hire is an expert in all of them, and most small internal teams are generalists stretched across specialties. They do their best, but “best effort across everything” is exactly how gaps form, and gaps are where outages and breaches like to live.</w:t>
      </w:r>
    </w:p>
    <w:p>
      <w:pPr>
        <w:spacing w:after="120" w:before="120" w:line="300"/>
      </w:pPr>
      <w:r>
        <w:t xml:space="preserve">Key-person risk compounds the problem. When one or two people hold all the institutional knowledge, the organization is one resignation, one vacation, or one sick day away from being stranded. Servers have an uncanny sense of timing; the 2 a.m. failure rarely waits for your IT manager to get back from the one week of vacation they took all year. Coverage that looks adequate during business hours looks very different at the moment something breaks.</w:t>
      </w:r>
    </w:p>
    <w:p>
      <w:pPr>
        <w:spacing w:after="120" w:before="120" w:line="300"/>
      </w:pPr>
      <w:r>
        <w:t xml:space="preserve">And something always breaks. The fully loaded cost of downtime (lost productivity, missed transactions, frustrated customers, the frantic all-hands scramble to recover) dwarfs almost every other IT expense, yet it rarely appears in the DIY calculation. Neither does the cost of a security incident, which for a mid-sized organization can run into six or seven figures once you account for response, recovery, legal exposure, and reputational damage.</w:t>
      </w:r>
    </w:p>
    <w:p>
      <w:pPr>
        <w:spacing w:after="120" w:before="120" w:line="300"/>
      </w:pPr>
      <w:r>
        <w:t xml:space="preserve">None of this means internal IT staff are the problem. It means asking a small internal team to deliver enterprise-grade reliability, security, and breadth is structurally unfair to them and quietly expensive for you. The right model usually isn’t “internal versus external,” it’s pairing the institutional knowledge of your people with the depth, coverage, and economies of scale that only come from a dedicated team built for it.</w:t>
      </w:r>
    </w:p>
    <w:p>
      <w:pPr>
        <w:spacing w:after="120" w:before="120" w:line="300"/>
      </w:pPr>
      <w:r>
        <w:t xml:space="preserve">The cheapest-looking option is rarely the cheapest one. DIY IT just moves the costs somewhere you stop counting, which is not the same as somewhere they stop adding up.</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O P E R A T I O N S</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2026-06-27T19:41:36.447Z</dcterms:created>
  <dcterms:modified xsi:type="dcterms:W3CDTF">2026-06-27T19:41:36.447Z</dcterms:modified>
</cp:coreProperties>
</file>

<file path=docProps/custom.xml><?xml version="1.0" encoding="utf-8"?>
<Properties xmlns="http://schemas.openxmlformats.org/officeDocument/2006/custom-properties" xmlns:vt="http://schemas.openxmlformats.org/officeDocument/2006/docPropsVTypes"/>
</file>