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160"/>
      </w:pPr>
      <w:r>
        <w:t xml:space="preserve">Cybersecurity Is a Business Issue</w:t>
      </w:r>
    </w:p>
    <w:p>
      <w:pPr>
        <w:spacing w:after="80"/>
      </w:pPr>
      <w:r>
        <w:rPr>
          <w:color w:val="777777"/>
          <w:sz w:val="20"/>
          <w:szCs w:val="20"/>
        </w:rPr>
        <w:t xml:space="preserve">By </w:t>
      </w:r>
      <w:r>
        <w:rPr>
          <w:b/>
          <w:bCs/>
          <w:color w:val="15445D"/>
          <w:sz w:val="20"/>
          <w:szCs w:val="20"/>
        </w:rPr>
        <w:t xml:space="preserve">Andrea Marini</w:t>
      </w:r>
    </w:p>
    <w:p>
      <w:pPr>
        <w:pBdr>
          <w:bottom w:val="single" w:color="72A4D8" w:sz="6" w:space="8"/>
        </w:pBdr>
        <w:spacing w:after="120"/>
      </w:pPr>
      <w:r>
        <w:rPr>
          <w:i/>
          <w:iCs/>
          <w:color w:val="555555"/>
          <w:sz w:val="24"/>
          <w:szCs w:val="24"/>
        </w:rPr>
        <w:t xml:space="preserve">Why boards and executive teams must become more involved in cybersecurity governance.</w:t>
      </w:r>
    </w:p>
    <w:p>
      <w:pPr>
        <w:spacing w:after="120" w:before="120" w:line="300"/>
      </w:pPr>
      <w:r>
        <w:t xml:space="preserve">For a long time, cybersecurity lived in the server room. It was understood as a technical problem with technical solutions, owned by IT, and discussed at the board level only after something went wrong. That model is no longer defensible, and increasingly, it’s no longer legal.</w:t>
      </w:r>
    </w:p>
    <w:p>
      <w:pPr>
        <w:spacing w:after="120" w:before="120" w:line="300"/>
      </w:pPr>
      <w:r>
        <w:t xml:space="preserve">A breach is not a technical event. It’s a business event. When systems go down, revenue stops. When customer data is exposed, trust evaporates and customers leave. When an incident triggers regulatory scrutiny, the costs multiply through fines, legal fees, and mandated remediation. The largest line items in the aftermath of a serious breach (lost business, reputational damage, legal exposure) sit nowhere near the IT department. They sit with the business. Which means cybersecurity is, by definition, a business issue.</w:t>
      </w:r>
    </w:p>
    <w:p>
      <w:pPr>
        <w:spacing w:after="120" w:before="120" w:line="300"/>
      </w:pPr>
      <w:r>
        <w:t xml:space="preserve">Regulators have caught up to this reality. Disclosure requirements, breach notification laws, and governance expectations increasingly hold boards and executives directly accountable for how the organization manages cyber risk. “We left it to the IT team” carries roughly the same weight in a courtroom as “the dog ate our incident response plan.” Cyber risk has become a matter of fiduciary duty, and leadership that treats it as someone else’s problem is accepting a liability it may not even understand.</w:t>
      </w:r>
    </w:p>
    <w:p>
      <w:pPr>
        <w:spacing w:after="120" w:before="120" w:line="300"/>
      </w:pPr>
      <w:r>
        <w:t xml:space="preserve">This doesn’t mean board members need to become security engineers. It means they need to govern cyber risk the way they govern financial risk, with attention, accountability, and informed oversight. That looks like a few concrete things. It means understanding the organization’s risk appetite and whether current investment matches it. It means receiving regular, plain-language reporting on the organization’s security posture rather than waiting for an incident. It means running tabletop exercises so the first time anyone improvises is not at 3 a.m. during an actual breach. And it means treating security investment as a strategic decision, not a grudging cost.</w:t>
      </w:r>
    </w:p>
    <w:p>
      <w:pPr>
        <w:spacing w:after="120" w:before="120" w:line="300"/>
      </w:pPr>
      <w:r>
        <w:t xml:space="preserve">There’s also an opportunity hiding inside the obligation. Security, done well, is not just protection, it’s a foundation of trust. Customers, partners, and investors increasingly want to know that the organizations they do business with can be relied upon to protect what matters. A mature security posture becomes a competitive asset: it shortens sales cycles, satisfies due diligence, and signals operational seriousness.</w:t>
      </w:r>
    </w:p>
    <w:p>
      <w:pPr>
        <w:spacing w:after="120" w:before="120" w:line="300"/>
      </w:pPr>
      <w:r>
        <w:t xml:space="preserve">The organizations that handle cybersecurity well are the ones where leadership stopped treating it as a technical specialty and started treating it as what it is, a core element of running the business responsibly. The threats are a business problem. The response has to be a business decision.</w:t>
      </w:r>
    </w:p>
    <w:p>
      <w:pPr>
        <w:pBdr>
          <w:top w:val="single" w:color="CCCCCC" w:sz="4" w:space="10"/>
        </w:pBdr>
        <w:spacing w:before="280"/>
      </w:pPr>
      <w:r>
        <w:rPr>
          <w:i/>
          <w:iCs/>
          <w:color w:val="15445D"/>
          <w:sz w:val="18"/>
          <w:szCs w:val="18"/>
        </w:rPr>
        <w:t xml:space="preserve">From the TeamShield Perspective.</w:t>
      </w:r>
    </w:p>
    <w:sectPr>
      <w:headerReference w:type="default" r:id="rId7"/>
      <w:footerReference w:type="default" r:id="rId8"/>
      <w:pgSz w:w="12240" w:h="15840" w:orient="portrait"/>
      <w:pgMar w:top="2200" w:right="1440" w:bottom="1440" w:left="1440" w:header="720"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40"/>
      <w:jc w:val="center"/>
    </w:pPr>
    <w:r>
      <w:drawing>
        <wp:inline distT="0" distB="0" distL="0" distR="0">
          <wp:extent cx="209550" cy="209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9550" cy="209550"/>
                  </a:xfrm>
                  <a:prstGeom prst="rect">
                    <a:avLst/>
                  </a:prstGeom>
                </pic:spPr>
              </pic:pic>
            </a:graphicData>
          </a:graphic>
        </wp:inline>
      </w:drawing>
    </w:r>
  </w:p>
  <w:p>
    <w:pPr>
      <w:spacing w:after="20"/>
      <w:jc w:val="center"/>
    </w:pPr>
    <w:r>
      <w:rPr>
        <w:rFonts w:ascii="Arial" w:cs="Arial" w:eastAsia="Arial" w:hAnsi="Arial"/>
        <w:color w:val="15445D"/>
        <w:sz w:val="16"/>
        <w:szCs w:val="16"/>
      </w:rPr>
      <w:t xml:space="preserve">50 Burlington Mall Road, Ste G12 · Burlington, MA 01803-4537</w:t>
    </w:r>
  </w:p>
  <w:p>
    <w:pPr>
      <w:jc w:val="center"/>
    </w:pPr>
    <w:r>
      <w:rPr>
        <w:rFonts w:ascii="Arial" w:cs="Arial" w:eastAsia="Arial" w:hAnsi="Arial"/>
        <w:color w:val="15445D"/>
        <w:sz w:val="16"/>
        <w:szCs w:val="16"/>
      </w:rPr>
      <w:t xml:space="preserve">(617) 798-1766</w:t>
    </w:r>
    <w:r>
      <w:rPr>
        <w:rFonts w:ascii="Arial" w:cs="Arial" w:eastAsia="Arial" w:hAnsi="Arial"/>
        <w:color w:val="AAAAAA"/>
        <w:sz w:val="16"/>
        <w:szCs w:val="16"/>
      </w:rPr>
      <w:t xml:space="preserve">   ·   </w:t>
    </w:r>
    <w:r>
      <w:rPr>
        <w:rFonts w:ascii="Arial" w:cs="Arial" w:eastAsia="Arial" w:hAnsi="Arial"/>
        <w:b/>
        <w:bCs/>
        <w:color w:val="72A4D8"/>
        <w:sz w:val="16"/>
        <w:szCs w:val="16"/>
      </w:rPr>
      <w:t xml:space="preserve">www.teamshieldgroup.com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2000250" cy="533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00250" cy="533400"/>
                  </a:xfrm>
                  <a:prstGeom prst="rect">
                    <a:avLst/>
                  </a:prstGeom>
                </pic:spPr>
              </pic:pic>
            </a:graphicData>
          </a:graphic>
        </wp:inline>
      </w:drawing>
    </w:r>
  </w:p>
  <w:p>
    <w:pPr>
      <w:spacing w:before="80"/>
      <w:jc w:val="center"/>
    </w:pPr>
    <w:r>
      <w:rPr>
        <w:rFonts w:ascii="Arial" w:cs="Arial" w:eastAsia="Arial" w:hAnsi="Arial"/>
        <w:b/>
        <w:bCs/>
        <w:color w:val="72A4D8"/>
        <w:sz w:val="17"/>
        <w:szCs w:val="17"/>
      </w:rPr>
      <w:t xml:space="preserve">C Y B E R S E C U R I T Y</w:t>
    </w:r>
  </w:p>
  <w:p>
    <w:pPr>
      <w:pBdr>
        <w:bottom w:val="single" w:color="15445D" w:sz="18" w:space="1"/>
      </w:pBdr>
      <w:spacing w:before="90"/>
    </w:pPr>
  </w:p>
  <w:p>
    <w:pPr>
      <w:pBdr>
        <w:bottom w:val="single" w:color="72A4D8" w:sz="6" w:space="1"/>
      </w:pBdr>
      <w:spacing w:before="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5445D"/>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4ec24c9fc86433e70b00cb6b58172905cbc8f29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5709238559d7ad2f29cabc4663f2df82650c1c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2026-06-27T19:41:36.548Z</dcterms:created>
  <dcterms:modified xsi:type="dcterms:W3CDTF">2026-06-27T19:41:36.548Z</dcterms:modified>
</cp:coreProperties>
</file>

<file path=docProps/custom.xml><?xml version="1.0" encoding="utf-8"?>
<Properties xmlns="http://schemas.openxmlformats.org/officeDocument/2006/custom-properties" xmlns:vt="http://schemas.openxmlformats.org/officeDocument/2006/docPropsVTypes"/>
</file>