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pPr>
      <w:r>
        <w:t xml:space="preserve">How Private Equity Firms Use Technology to Improve EBITDA</w:t>
      </w:r>
    </w:p>
    <w:p>
      <w:pPr>
        <w:spacing w:after="80"/>
      </w:pPr>
      <w:r>
        <w:rPr>
          <w:color w:val="777777"/>
          <w:sz w:val="20"/>
          <w:szCs w:val="20"/>
        </w:rPr>
        <w:t xml:space="preserve">By </w:t>
      </w:r>
      <w:r>
        <w:rPr>
          <w:b/>
          <w:bCs/>
          <w:color w:val="15445D"/>
          <w:sz w:val="20"/>
          <w:szCs w:val="20"/>
        </w:rPr>
        <w:t xml:space="preserve">Chris Jennings</w:t>
      </w:r>
    </w:p>
    <w:p>
      <w:pPr>
        <w:pBdr>
          <w:bottom w:val="single" w:color="72A4D8" w:sz="6" w:space="8"/>
        </w:pBdr>
        <w:spacing w:after="120"/>
      </w:pPr>
      <w:r>
        <w:rPr>
          <w:i/>
          <w:iCs/>
          <w:color w:val="555555"/>
          <w:sz w:val="24"/>
          <w:szCs w:val="24"/>
        </w:rPr>
        <w:t xml:space="preserve">Technology as a value creation strategy.</w:t>
      </w:r>
    </w:p>
    <w:p>
      <w:pPr>
        <w:spacing w:after="120" w:before="120" w:line="300"/>
      </w:pPr>
      <w:r>
        <w:t xml:space="preserve">In private equity, the holding period is a race to create value. Every lever that improves EBITDA, de-risks the business, or strengthens the exit story is worth pursuing, and increasingly, the most underused of those levers is technology. The firms generating the strongest returns have stopped treating portfolio-company IT as a maintenance item and started treating it as a deliberate value-creation strategy.</w:t>
      </w:r>
    </w:p>
    <w:p>
      <w:pPr>
        <w:spacing w:after="120" w:before="120" w:line="300"/>
      </w:pPr>
      <w:r>
        <w:t xml:space="preserve">It begins before the deal closes. Technology due diligence has become as standard as financial and legal diligence, because the state of a target’s technology directly affects its value and its risk. A modern, well-run stack is an asset. A pile of technical debt, aging infrastructure, or an unaddressed security exposure is a liability that will surface, usually the week before close, rather like the houseguest who mentions the leak only after you’ve signed the lease. Smart acquirers price it in.</w:t>
      </w:r>
    </w:p>
    <w:p>
      <w:pPr>
        <w:spacing w:after="120" w:before="120" w:line="300"/>
      </w:pPr>
      <w:r>
        <w:t xml:space="preserve">Once inside the portfolio, technology drives EBITDA from both directions. On the cost side, there’s almost always room to rationalize: consolidating the three nearly identical systems nobody remembers buying, renegotiating or eliminating overlapping vendor contracts, migrating to cloud infrastructure that scales with the business, and automating manual processes that quietly consume headcount. These moves drop straight to the bottom line and often pay for themselves well within the hold period.</w:t>
      </w:r>
    </w:p>
    <w:p>
      <w:pPr>
        <w:spacing w:after="120" w:before="120" w:line="300"/>
      </w:pPr>
      <w:r>
        <w:t xml:space="preserve">On the revenue side, technology enables growth that wasn’t possible before. Better data gives management the visibility to make faster, sharper decisions. Automation lets the business scale without proportionally scaling cost. Modernized customer-facing systems improve retention and open new channels. For firms pursuing a buy-and-build strategy, a standardized technology platform turns each bolt-on acquisition from an integration headache into a repeatable, fast process, which is itself a source of value.</w:t>
      </w:r>
    </w:p>
    <w:p>
      <w:pPr>
        <w:spacing w:after="120" w:before="120" w:line="300"/>
      </w:pPr>
      <w:r>
        <w:t xml:space="preserve">Then there’s risk, which protects everything else. A serious cybersecurity incident or compliance failure during the hold period can impair valuation, derail a sale process, or scare off buyers entirely. Getting security and compliance right isn’t just good hygiene, it protects the asset and removes a question mark from the exit.</w:t>
      </w:r>
    </w:p>
    <w:p>
      <w:pPr>
        <w:spacing w:after="120" w:before="120" w:line="300"/>
      </w:pPr>
      <w:r>
        <w:t xml:space="preserve">And the exit is where it all comes together. A portfolio company with a modern, secure, well-documented technology foundation tells a stronger story to the next buyer. It signals operational maturity, reduces perceived risk, and supports a higher multiple. In a competitive sale process, the company whose technology is an asset rather than a question mark commands a premium.</w:t>
      </w:r>
    </w:p>
    <w:p>
      <w:pPr>
        <w:spacing w:after="120" w:before="120" w:line="300"/>
      </w:pPr>
      <w:r>
        <w:t xml:space="preserve">The firms that win understand a simple point: technology is not a portfolio-company expense to be minimized. It is one of the most controllable, repeatable levers available for improving EBITDA and maximizing exit value, across the entire portfolio, deal after deal.</w:t>
      </w:r>
    </w:p>
    <w:p>
      <w:pPr>
        <w:pBdr>
          <w:top w:val="single" w:color="CCCCCC" w:sz="4" w:space="10"/>
        </w:pBdr>
        <w:spacing w:before="280"/>
      </w:pPr>
      <w:r>
        <w:rPr>
          <w:i/>
          <w:iCs/>
          <w:color w:val="15445D"/>
          <w:sz w:val="18"/>
          <w:szCs w:val="18"/>
        </w:rPr>
        <w:t xml:space="preserve">From the TeamShield Perspective.</w:t>
      </w:r>
    </w:p>
    <w:sectPr>
      <w:headerReference w:type="default" r:id="rId7"/>
      <w:footerReference w:type="default" r:id="rId8"/>
      <w:pgSz w:w="12240" w:h="15840" w:orient="portrait"/>
      <w:pgMar w:top="2200" w:right="1440" w:bottom="1440" w:left="1440" w:header="720"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40"/>
      <w:jc w:val="center"/>
    </w:pPr>
    <w:r>
      <w:drawing>
        <wp:inline distT="0" distB="0" distL="0" distR="0">
          <wp:extent cx="20955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 cy="209550"/>
                  </a:xfrm>
                  <a:prstGeom prst="rect">
                    <a:avLst/>
                  </a:prstGeom>
                </pic:spPr>
              </pic:pic>
            </a:graphicData>
          </a:graphic>
        </wp:inline>
      </w:drawing>
    </w:r>
  </w:p>
  <w:p>
    <w:pPr>
      <w:spacing w:after="20"/>
      <w:jc w:val="center"/>
    </w:pPr>
    <w:r>
      <w:rPr>
        <w:rFonts w:ascii="Arial" w:cs="Arial" w:eastAsia="Arial" w:hAnsi="Arial"/>
        <w:color w:val="15445D"/>
        <w:sz w:val="16"/>
        <w:szCs w:val="16"/>
      </w:rPr>
      <w:t xml:space="preserve">50 Burlington Mall Road, Ste G12 · Burlington, MA 01803-4537</w:t>
    </w:r>
  </w:p>
  <w:p>
    <w:pPr>
      <w:jc w:val="center"/>
    </w:pPr>
    <w:r>
      <w:rPr>
        <w:rFonts w:ascii="Arial" w:cs="Arial" w:eastAsia="Arial" w:hAnsi="Arial"/>
        <w:color w:val="15445D"/>
        <w:sz w:val="16"/>
        <w:szCs w:val="16"/>
      </w:rPr>
      <w:t xml:space="preserve">(617) 798-1766</w:t>
    </w:r>
    <w:r>
      <w:rPr>
        <w:rFonts w:ascii="Arial" w:cs="Arial" w:eastAsia="Arial" w:hAnsi="Arial"/>
        <w:color w:val="AAAAAA"/>
        <w:sz w:val="16"/>
        <w:szCs w:val="16"/>
      </w:rPr>
      <w:t xml:space="preserve">   ·   </w:t>
    </w:r>
    <w:r>
      <w:rPr>
        <w:rFonts w:ascii="Arial" w:cs="Arial" w:eastAsia="Arial" w:hAnsi="Arial"/>
        <w:b/>
        <w:bCs/>
        <w:color w:val="72A4D8"/>
        <w:sz w:val="16"/>
        <w:szCs w:val="16"/>
      </w:rPr>
      <w:t xml:space="preserve">www.teamshieldgroup.com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200025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00250" cy="533400"/>
                  </a:xfrm>
                  <a:prstGeom prst="rect">
                    <a:avLst/>
                  </a:prstGeom>
                </pic:spPr>
              </pic:pic>
            </a:graphicData>
          </a:graphic>
        </wp:inline>
      </w:drawing>
    </w:r>
  </w:p>
  <w:p>
    <w:pPr>
      <w:spacing w:before="80"/>
      <w:jc w:val="center"/>
    </w:pPr>
    <w:r>
      <w:rPr>
        <w:rFonts w:ascii="Arial" w:cs="Arial" w:eastAsia="Arial" w:hAnsi="Arial"/>
        <w:b/>
        <w:bCs/>
        <w:color w:val="72A4D8"/>
        <w:sz w:val="17"/>
        <w:szCs w:val="17"/>
      </w:rPr>
      <w:t xml:space="preserve">P R I V A T E   E Q U I T Y</w:t>
    </w:r>
  </w:p>
  <w:p>
    <w:pPr>
      <w:pBdr>
        <w:bottom w:val="single" w:color="15445D" w:sz="18" w:space="1"/>
      </w:pBdr>
      <w:spacing w:before="90"/>
    </w:pPr>
  </w:p>
  <w:p>
    <w:pPr>
      <w:pBdr>
        <w:bottom w:val="single" w:color="72A4D8" w:sz="6" w:space="1"/>
      </w:pBdr>
      <w:spacing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5445D"/>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4ec24c9fc86433e70b00cb6b58172905cbc8f2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5709238559d7ad2f29cabc4663f2df82650c1c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2026-06-27T19:41:36.584Z</dcterms:created>
  <dcterms:modified xsi:type="dcterms:W3CDTF">2026-06-27T19:41:36.584Z</dcterms:modified>
</cp:coreProperties>
</file>

<file path=docProps/custom.xml><?xml version="1.0" encoding="utf-8"?>
<Properties xmlns="http://schemas.openxmlformats.org/officeDocument/2006/custom-properties" xmlns:vt="http://schemas.openxmlformats.org/officeDocument/2006/docPropsVTypes"/>
</file>