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before="160"/>
      </w:pPr>
      <w:r>
        <w:t xml:space="preserve">The AI Enabled Enterprise</w:t>
      </w:r>
    </w:p>
    <w:p>
      <w:pPr>
        <w:spacing w:after="80"/>
      </w:pPr>
      <w:r>
        <w:rPr>
          <w:color w:val="777777"/>
          <w:sz w:val="20"/>
          <w:szCs w:val="20"/>
        </w:rPr>
        <w:t xml:space="preserve">By </w:t>
      </w:r>
      <w:r>
        <w:rPr>
          <w:b/>
          <w:bCs/>
          <w:color w:val="15445D"/>
          <w:sz w:val="20"/>
          <w:szCs w:val="20"/>
        </w:rPr>
        <w:t xml:space="preserve">Chris Jennings</w:t>
      </w:r>
    </w:p>
    <w:p>
      <w:pPr>
        <w:pBdr>
          <w:bottom w:val="single" w:color="72A4D8" w:sz="6" w:space="8"/>
        </w:pBdr>
        <w:spacing w:after="120"/>
      </w:pPr>
      <w:r>
        <w:rPr>
          <w:i/>
          <w:iCs/>
          <w:color w:val="555555"/>
          <w:sz w:val="24"/>
          <w:szCs w:val="24"/>
        </w:rPr>
        <w:t xml:space="preserve">What organizations must do to move from experimentation to transformation.</w:t>
      </w:r>
    </w:p>
    <w:p>
      <w:pPr>
        <w:spacing w:after="120" w:before="120" w:line="300"/>
      </w:pPr>
      <w:r>
        <w:t xml:space="preserve">Nearly every organization is now doing something with AI. Teams are running pilots, individuals are using assistants, and leadership decks are full of ambition (and at least one slide featuring a brain made of circuit board). Experimentation is everywhere. Transformation is rare. The gap between the two is the defining challenge of this moment, and closing it requires far more than buying better tools.</w:t>
      </w:r>
    </w:p>
    <w:p>
      <w:pPr>
        <w:spacing w:after="120" w:before="120" w:line="300"/>
      </w:pPr>
      <w:r>
        <w:t xml:space="preserve">An experiment is a project. An AI-enabled enterprise is an operating model. The difference is whether AI is something a few teams try on the side, or something woven into how the organization works, decides, and competes. Most companies are stuck on the first because they treat AI as a series of initiatives rather than a capability to be built. Crossing over takes deliberate work across several fronts at once.</w:t>
      </w:r>
    </w:p>
    <w:p>
      <w:pPr>
        <w:spacing w:after="120" w:before="120" w:line="300"/>
      </w:pPr>
      <w:r>
        <w:t xml:space="preserve">It starts with strategy. Transformation requires a clear point of view on where AI creates real advantage for this business: which processes, which decisions, which customer experiences. Without that, AI becomes a scattering of disconnected pilots that never add up to anything. The enterprises that pull ahead pick their battles and commit.</w:t>
      </w:r>
    </w:p>
    <w:p>
      <w:pPr>
        <w:spacing w:after="120" w:before="120" w:line="300"/>
      </w:pPr>
      <w:r>
        <w:t xml:space="preserve">It requires a data foundation. AI is only as good as the data feeding it, and enterprise-grade AI demands data that is accessible, clean, governed, and connected across the organization. This is the unglamorous prerequisite that most experiments get to skip and most transformations cannot. Investing here is what makes everything downstream possible.</w:t>
      </w:r>
    </w:p>
    <w:p>
      <w:pPr>
        <w:spacing w:after="120" w:before="120" w:line="300"/>
      </w:pPr>
      <w:r>
        <w:t xml:space="preserve">It requires governance. As AI moves from the edge to the core of operations, the organization has to manage it responsibly: accuracy, security, privacy, bias, accountability, and compliance. Governance isn’t a brake on transformation; it’s what makes scaling safe enough to be worth doing.</w:t>
      </w:r>
    </w:p>
    <w:p>
      <w:pPr>
        <w:spacing w:after="120" w:before="120" w:line="300"/>
      </w:pPr>
      <w:r>
        <w:t xml:space="preserve">It requires people. An AI-enabled enterprise needs literacy at every level: leaders who understand what AI can and can’t do, and a workforce confident enough to use it well without quietly pasting confidential data into the nearest chatbot. This is as much a cultural shift as a technical one. Tools don’t transform organizations; people using tools well do.</w:t>
      </w:r>
    </w:p>
    <w:p>
      <w:pPr>
        <w:spacing w:after="120" w:before="120" w:line="300"/>
      </w:pPr>
      <w:r>
        <w:t xml:space="preserve">And it requires integration. The value of AI shows up when it’s embedded in real workflows, not running alongside them. That means redesigning how work actually gets done, not bolting AI onto processes built for a pre-AI world.</w:t>
      </w:r>
    </w:p>
    <w:p>
      <w:pPr>
        <w:spacing w:after="120" w:before="120" w:line="300"/>
      </w:pPr>
      <w:r>
        <w:t xml:space="preserve">The roadmap is recognizable: start with focused pilots tied to real problems, prove value, build the data and governance foundation underneath, grow your people’s capability, and then scale what works into the fabric of the business. The destination isn’t a company that uses AI. It’s a company that operates differently because of it: faster, smarter, and harder to compete with.</w:t>
      </w:r>
    </w:p>
    <w:p>
      <w:pPr>
        <w:spacing w:after="120" w:before="120" w:line="300"/>
      </w:pPr>
      <w:r>
        <w:t xml:space="preserve">Experimentation is where everyone starts. Transformation is where the advantage is. The organizations that make the crossing deliberately, rather than hoping to drift there, are the ones who will define their industries.</w:t>
      </w:r>
    </w:p>
    <w:p>
      <w:pPr>
        <w:pBdr>
          <w:top w:val="single" w:color="CCCCCC" w:sz="4" w:space="10"/>
        </w:pBdr>
        <w:spacing w:before="280"/>
      </w:pPr>
      <w:r>
        <w:rPr>
          <w:i/>
          <w:iCs/>
          <w:color w:val="15445D"/>
          <w:sz w:val="18"/>
          <w:szCs w:val="18"/>
        </w:rPr>
        <w:t xml:space="preserve">From the TeamShield Perspective.</w:t>
      </w:r>
    </w:p>
    <w:sectPr>
      <w:headerReference w:type="default" r:id="rId7"/>
      <w:footerReference w:type="default" r:id="rId8"/>
      <w:pgSz w:w="12240" w:h="15840" w:orient="portrait"/>
      <w:pgMar w:top="2200" w:right="1440" w:bottom="1440" w:left="1440" w:header="720"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40"/>
      <w:jc w:val="center"/>
    </w:pPr>
    <w:r>
      <w:drawing>
        <wp:inline distT="0" distB="0" distL="0" distR="0">
          <wp:extent cx="209550" cy="2095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209550" cy="209550"/>
                  </a:xfrm>
                  <a:prstGeom prst="rect">
                    <a:avLst/>
                  </a:prstGeom>
                </pic:spPr>
              </pic:pic>
            </a:graphicData>
          </a:graphic>
        </wp:inline>
      </w:drawing>
    </w:r>
  </w:p>
  <w:p>
    <w:pPr>
      <w:spacing w:after="20"/>
      <w:jc w:val="center"/>
    </w:pPr>
    <w:r>
      <w:rPr>
        <w:rFonts w:ascii="Arial" w:cs="Arial" w:eastAsia="Arial" w:hAnsi="Arial"/>
        <w:color w:val="15445D"/>
        <w:sz w:val="16"/>
        <w:szCs w:val="16"/>
      </w:rPr>
      <w:t xml:space="preserve">50 Burlington Mall Road, Ste G12 · Burlington, MA 01803-4537</w:t>
    </w:r>
  </w:p>
  <w:p>
    <w:pPr>
      <w:jc w:val="center"/>
    </w:pPr>
    <w:r>
      <w:rPr>
        <w:rFonts w:ascii="Arial" w:cs="Arial" w:eastAsia="Arial" w:hAnsi="Arial"/>
        <w:color w:val="15445D"/>
        <w:sz w:val="16"/>
        <w:szCs w:val="16"/>
      </w:rPr>
      <w:t xml:space="preserve">(617) 798-1766</w:t>
    </w:r>
    <w:r>
      <w:rPr>
        <w:rFonts w:ascii="Arial" w:cs="Arial" w:eastAsia="Arial" w:hAnsi="Arial"/>
        <w:color w:val="AAAAAA"/>
        <w:sz w:val="16"/>
        <w:szCs w:val="16"/>
      </w:rPr>
      <w:t xml:space="preserve">   ·   </w:t>
    </w:r>
    <w:r>
      <w:rPr>
        <w:rFonts w:ascii="Arial" w:cs="Arial" w:eastAsia="Arial" w:hAnsi="Arial"/>
        <w:b/>
        <w:bCs/>
        <w:color w:val="72A4D8"/>
        <w:sz w:val="16"/>
        <w:szCs w:val="16"/>
      </w:rPr>
      <w:t xml:space="preserve">www.teamshieldgroup.com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drawing>
        <wp:inline distT="0" distB="0" distL="0" distR="0">
          <wp:extent cx="2000250" cy="5334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2000250" cy="533400"/>
                  </a:xfrm>
                  <a:prstGeom prst="rect">
                    <a:avLst/>
                  </a:prstGeom>
                </pic:spPr>
              </pic:pic>
            </a:graphicData>
          </a:graphic>
        </wp:inline>
      </w:drawing>
    </w:r>
  </w:p>
  <w:p>
    <w:pPr>
      <w:spacing w:before="80"/>
      <w:jc w:val="center"/>
    </w:pPr>
    <w:r>
      <w:rPr>
        <w:rFonts w:ascii="Arial" w:cs="Arial" w:eastAsia="Arial" w:hAnsi="Arial"/>
        <w:b/>
        <w:bCs/>
        <w:color w:val="72A4D8"/>
        <w:sz w:val="17"/>
        <w:szCs w:val="17"/>
      </w:rPr>
      <w:t xml:space="preserve">T R A N S F O R M A T I O N</w:t>
    </w:r>
  </w:p>
  <w:p>
    <w:pPr>
      <w:pBdr>
        <w:bottom w:val="single" w:color="15445D" w:sz="18" w:space="1"/>
      </w:pBdr>
      <w:spacing w:before="90"/>
    </w:pPr>
  </w:p>
  <w:p>
    <w:pPr>
      <w:pBdr>
        <w:bottom w:val="single" w:color="72A4D8" w:sz="6" w:space="1"/>
      </w:pBdr>
      <w:spacing w:before="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120"/>
      <w:outlineLvl w:val="0"/>
    </w:pPr>
    <w:rPr>
      <w:rFonts w:ascii="Arial" w:cs="Arial" w:eastAsia="Arial" w:hAnsi="Arial"/>
      <w:b/>
      <w:bCs/>
      <w:color w:val="15445D"/>
      <w:sz w:val="36"/>
      <w:szCs w:val="3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Relationship Id="rId0" Type="http://schemas.openxmlformats.org/officeDocument/2006/relationships/image" Target="media/4ec24c9fc86433e70b00cb6b58172905cbc8f29f.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55709238559d7ad2f29cabc4663f2df82650c1c1.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2026-06-27T19:41:36.620Z</dcterms:created>
  <dcterms:modified xsi:type="dcterms:W3CDTF">2026-06-27T19:41:36.620Z</dcterms:modified>
</cp:coreProperties>
</file>

<file path=docProps/custom.xml><?xml version="1.0" encoding="utf-8"?>
<Properties xmlns="http://schemas.openxmlformats.org/officeDocument/2006/custom-properties" xmlns:vt="http://schemas.openxmlformats.org/officeDocument/2006/docPropsVTypes"/>
</file>